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17 300 vom 14. April 2020</w:t>
      </w:r>
    </w:p>
    <w:p>
      <w:r>
        <w:t>VS Kantonsgericht, 2020-04-14, FR</w:t>
      </w:r>
    </w:p>
    <w:p>
      <w:r>
        <w:rPr>
          <w:b/>
        </w:rPr>
        <w:t xml:space="preserve">Quelle: </w:t>
      </w:r>
      <w:r>
        <w:t>https://mcp.opencaselaw.ch/entscheid/vs_gerichte_C1 17 300</w:t>
      </w:r>
    </w:p>
    <w:p>
      <w:r>
        <w:t>FR: VS_GERICHTE C1 17 300 du 14 avril 2020</w:t>
      </w:r>
    </w:p>
    <w:p>
      <w:r>
        <w:t>IT: VS_GERICHTE C1 17 300 del 14 aprile 2020</w:t>
      </w:r>
    </w:p>
    <w:p>
      <w:pPr>
        <w:pStyle w:val="Heading2"/>
      </w:pPr>
      <w:r>
        <w:t>Regeste</w:t>
      </w:r>
    </w:p>
    <w:p>
      <w:r>
        <w:t>C1 17 300 JUGEMENT DU 14 AVRIL 2020 Tribunal cantonal du Valais Cour civile II Bertrand Dayer, juge; Céline Gaillard, greffière ad hoc en la cause A_________, défenderesse et appelante, représentée par Maître M_________ contre B_________, demandeur et appelé, représenté par Maître N_________ et CAISSE DE CHÔMAGE OCS, intervenante et appelée (contrat de travail : résiliation avec effet immédiat; art. 337 ss CO) appel contre le jugement rendu le 4 avril 2017 par le Tribunal du travail</w:t>
      </w:r>
    </w:p>
    <w:p>
      <w:pPr>
        <w:pStyle w:val="Heading2"/>
      </w:pPr>
      <w:r>
        <w:t>Erwägungen</w:t>
      </w:r>
    </w:p>
    <w:p>
      <w:r>
        <w:rPr>
          <w:b/>
        </w:rPr>
        <w:t>E. 3</w:t>
      </w:r>
    </w:p>
    <w:p>
      <w:r>
        <w:t>Les juges de première instance ont considéré que le licenciement avec effet immédiat de B_________ n'était pas justifié. D'une part, les faits établis ne démontraient pas que ce dernier eût agi de manière à ruiner irrémédiablement le rapport de confiance devant exister entre employeur et employé. D'autre part, la résiliation était intervenue tardivement.</w:t>
      </w:r>
    </w:p>
    <w:p>
      <w:r>
        <w:rPr>
          <w:b/>
        </w:rPr>
        <w:t>E. 3.1</w:t>
      </w:r>
    </w:p>
    <w:p>
      <w:r>
        <w:t>S’agissant de la reprise de G_________ de E_________, il était clair que B_________ n'avait agi que comme intermédiaire dans cette affaire et que la revente du véhicule n'avait profité qu'à C_________, qui traitait régulièrement de la reprise de véhicules avec le garage A_________. La procédure pénale engagée à l'encontre du demandeur avait d'ailleurs été classée faute d'élément permettant de conclure qu'il avait encaissé une partie du produit de la vente. En outre, "l'usage d'un contrat de vente écrit recopié" ne constituait pas un faux, ni une tentative de tromper son employeur, car il avait été signé pour le compte de C_________. Les premiers juges ont cependant considéré que le comportement de B_________ n'était pas exempt de tout reproche puisque le garage A_________ revendait habituellement à C_________ des véhicules repris avec un certain bénéfice, alors que la transaction concernant G_________ s'était conclue directement entre le revendeur et le client du garage. Les explications divergentes données par le demandeur et E_________ au sujet d'une éventuelle offre de reprise de G_________ par le garage étaient en outre de nature à "ébranler la réelle bonne foi de B_________". Toutefois, lesdits juges ont reconnu que, même si ce dernier avait voulu exclure d'entrée de cause la défenderesse de la transaction, cela ne signifiait pas qu'il ait agi contrairement aux intérêts de celle-ci, dans la mesure où la revente de G_________ ne constituait pas une bonne affaire pour elle, comme l’avait confirmé C_________. Ainsi, il ne s'agissait pas d'une faute suffisamment grave pour justifier la résiliation immédiate des rapports de travail, ce d'autant plus qu'il n'était pas établi que O_________ - qui avait évoqué cette affaire lors d'un passage de C_________ au garage en lui déclarant ne plus vouloir en entendre parler - ait agi dans les deux ou trois jours précédant le licenciement.</w:t>
      </w:r>
    </w:p>
    <w:p>
      <w:r>
        <w:rPr>
          <w:b/>
        </w:rPr>
        <w:t>E. 3.2</w:t>
      </w:r>
    </w:p>
    <w:p>
      <w:r>
        <w:t>Le Tribunal du travail a également retenu que l'usage illicite de F_________ yy2 avait été fait à l'insu de B_________ et qu'il n'existait pas de soupçon suffisant pour justifier sa mise en accusation sur le plan pénal. Le contrat de consignation qu'aurait dû signer O_________, selon ses propres déclarations, était même inconnu de</w:t>
      </w:r>
    </w:p>
    <w:p>
      <w:r>
        <w:t>- 14 - L_________, qui savait pourtant que des véhicules du garage étaient parfois mis en exposition sur le parc d'un autre garage. Dans ces circonstances, la manière de procéder de B_________ n'était pas de nature à trahir le lien de confiance le liant au garage A_________, lequel lui reprochait particulièrement d'avoir participé à la commission des actes illicites de C_________, ce qui allait à l'encontre des éléments ressortant du dossier. L'employeur avait, également dans ce cas, agi tardivement le 25 janvier 2014, l'absence du véhicule ayant été constatée le 10 janvier 2014 et son rapatriement au garage ayant eu lieu le 18 janvier suivant.</w:t>
      </w:r>
    </w:p>
    <w:p>
      <w:r>
        <w:rPr>
          <w:b/>
        </w:rPr>
        <w:t>E. 3.3</w:t>
      </w:r>
    </w:p>
    <w:p>
      <w:r>
        <w:t>L'enquête pénale n'avait finalement mis en lumière aucun élément permettant d'incriminer B_________ et C_________ pour usage abusif de plaques minéralogiques du garage. Il n'était de surcroît pas établi que l’employeur ait eu connaissance des faits reprochés à son employé le jour de son licenciement, comme il l'alléguait (cf. all. 58, réponse p. 5). 4.1 Dans un premier grief, l'appelante s'en prend à l'appréciation faite par les juges de première instance de la gravité des manquements imputés à l'appelé. 4.1.1 Elle lui reproche en substance d'avoir grossièrement falsifié un contrat de vente du garage, en vue de permettre la reprise au prix de 5500 fr. du véhicule d'un client par l’un de ses amis, et de le proposer par la suite au prix de 8900 fr. sur un site de vente en ligne, dans l'intention de réaliser un bénéfice de 3400 fr. à son détriment. Les considérations relatives à l'état dudit véhicule et au fait que sa reprise n'aurait pas pu intervenir à la valeur escomptée n'avaient aucune importance, sachant que chaque reprise devait être effectuée par et pour son compte, l'objectif étant de réaliser une marge entre le prix de reprise et celui de revente à un tiers. Ainsi, en signant le contrat falsifié - même avec l'adjonction "p.o." - B_________ avait trompé sa confiance. Son argument selon lequel cette manière de procéder lui avait assuré la vente de F_________ yy1 ne tenait en outre pas la route car le client aurait de toute façon acquis ce véhicule. Ce même client avait d'ailleurs affirmé que l’appelé ne lui avait proposé aucune offre de reprise par le garage. La volonté de l’employé de réaliser une affaire personnelle aurait donc pu se concrétiser si O_________ n'avait pas découvert le pot aux roses. Le fait que E_________ avait reçu au comptant de B_________ la somme de 5500 fr., qui n'avait pas été portée en compensation du prix de vente de F_________, démontrait que le client avait été partie à deux contrats différents, dont l’un ne concernait pas le garage A_________. Selon l’appelante, si le Ministère public avait eu connaissance des déclarations de E_________, il n'aurait pas classé la procédure ouverte contre l'appelé. Tant objectivement que subjectivement, le fait pour un vendeur de véhicules, payé par</w:t>
      </w:r>
    </w:p>
    <w:p>
      <w:r>
        <w:t>- 15 - son employeur, de réaliser des ventes dans le dos de ce dernier était de nature à rompre le lien de confiance et suffisamment grave (pris individuellement ou en lien avec les autres manquements) pour justifier un licenciement avec effet immédiat. 4.1.2 L'appelante soutient également qu'en déplaçant le véhicule F_________ yy2 sans autorisation, en ne mentionnant pas son absence à l'inventaire dont il avait la responsabilité en septembre 2013 et en le confiant à un tiers l'ayant utilisé régulièrement et immatriculé sur la base d'une fausse déclaration de perte du permis de circulation, l'appelé avait gravement rompu le lien de confiance qui les unissait. En effet, sans sa participation active, les actes de C_________ n'auraient pas pu être commis. Ainsi, une rupture du lien de confiance devait également être retenue pour ce motif (pris individuellement ou en lien avec les autres manquements). 4.1.3 A_________ fait enfin grief aux premiers juges de ne pas avoir compris la problématique en lien avec le prêt des plaques minéralogiques du garage portant le numéro VS xxx U. Nonobstant le résultat de la procédure pénale, il n'en demeurait pas moins que le prêt en lui-même de telles plaques - sans autorisation de l'employeur - constituait une atteinte irrémédiable au lien de confiance. En effet, les questions de sécurité, de responsabilité et de couverture d'assurance étaient essentielles dans une entreprise automobile et l'appelé avait pris le risque que deux véhicules roulent simultanément avec les mêmes plaques. Même si ce fait n'avait pas pu être prouvé, l'employé avait reconnu le prêt. La responsabilité de l'employeur aurait donc été engagée en cas de sinistre, sans qu'il puisse être exclu que l'assurance ait refusé toute prestation de ce chef. Le risque pris par B_________ était ainsi de nature à provoquer la rupture du lien de confiance et objectivement grave. En refusant de le reconnaître (tant individuellement qu'en lien avec les autres manquements), le Tribunal du travail avait encore une fois constaté inexactement les faits. 4.2 Dans un second moyen, l'appelante conteste le caractère tardif du licenciement prononcé. Elle reproche audit tribunal de ne pas avoir considéré que les circonstances particulières du cas d'espèce (multiplication des manquements nécessitant des investigations complémentaires et une recherche d'éventuels autres manquements, non seulement pour étayer le licenciement immédiat, mais également pour protéger les intérêts de l'employeur dans le cadre d'éventuelles procédures civile et pénale) exigeaient une exception au délai de réflexion de deux à trois jours, admise par la jurisprudence (ATF 138 I 113).</w:t>
      </w:r>
    </w:p>
    <w:p>
      <w:r>
        <w:t>- 16 - 5.1 Selon l’article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(ATF 137 III 303 consid. 2.1.1).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(ATF 137 III 303 consid. 2.1.1). En revanche, un fort soupçon pesant sur le travailleur ne justifie en principe pas son licenciement immédiat, à moins qu'il soit de nature à rendre impossible la continuation des rapports de travail (WYLER/HEINZER, Droit du travail, 4e éd., 2019, p. 719 et 722, citant l'arrêt 4A_419/2015 consid. 2.1.2), bien que sur ce dernier point la doctrine soit partagée (FAVRE MOREILLON, Les différents types de licenciements en droit du travail, 2019, p. 224 s., no 5.8.3.1). Le juge apprécie librement s'il existe de justes motifs (art. 337 al. 3 in initio CO) et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Si le manquement est moins grave, il ne peut entraîner une résiliation immédiate que s'il a été répété malgré un avertissement (ATF 130 III 28 consid. 4.1). Il est possible d'invoquer des circonstances qui existaient au moment de la résiliation, mais qui n'avaient pas pu être invoquées à l'appui du licenciement parce qu'elles n'étaient pas ou ne pouvaient pas être connues de l'auteur de la résiliation (ATF 142 III 579 consid. 4.3). Il faut toutefois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III 25 consid. 3a). Le fardeau de la preuve relatif à l'existence de justes motifs est à la charge de l'employeur (WYLER/HEINZER, op. cit., p. 714 et 768 et réf.).</w:t>
      </w:r>
    </w:p>
    <w:p>
      <w:r>
        <w:t>- 17 - 5.2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93 II 18). Si l'état de fait appelle des éclaircissements, il faut tenir compte du temps nécessaire pour les obtenir, étant précisé que l'employeur qui soupçonne concrètement l'existence d'un juste motif doit prendre immédiatement et sans discontinuer toutes les mesures que l'on peut raisonnablement attendre de lui pour clarifier la situation (ATF 138 I 113 consid. 6.3.3; arrêts 4A_559/2016 du 18 janvier 2017 consid. 4.1; 4A_372/2016 du 2 février 2017 consid. 5.1.2). L'audition de l'intéressé est en principe nécessaire en présence de soupçon d'un comportement mettant en cause sa probité (WYLER/HEINZER, op. cit., p. 746). Ainsi, les mesures de vérification l'emportent sur la nécessité d'une réaction rapide, l'employeur ne saurait en effet prendre une décision alors que sa connaissance des faits est incertaine (FAVRE MOREILLON, op. cit., p. 220, no 5.7.2 et réf.). Il y a également lieu de distinguer, selon le Tribunal fédéral, la situation dans laquelle les soupçons, clairs en eux-mêmes, doivent être simplement confirmés ou infirmés, de la situation dans laquelle les faits sont obscurs et doivent donner lieu à des vérifications approfondies (FAVRE MOREILLON, op. cit., p. 219, no 5.7.1 ch. 5 et réf.). Dans le premier cas, il sera attendu de l'employeur qu'il réfléchisse aux suites qu'il donnera à l'affaire pendant qu'il réunit les renseignements utiles à l'éclaircissement de la cause. Partant, le congé devra être signifié, le cas échéant, immédiatement après la confirmation des soupçons (en dehors des jours fériés et vacances du travailleur). Dans la seconde hypothèse, il est plus aisé d'admettre la nécessité pour l'employeur de disposer d'un délai de réflexion plus long. Cependant, il lui appartiendra de prouver que tel était le cas ; il en va notamment ainsi en cas de soupçon d'infraction pénale (FAVRE MOREILLON, loc. cit. et réf.). 5.3 Ainsi qu'on va le voir, la solution retenue par le Tribunal du travail ne prête pas le flanc à la critique, en particulier sous l'angle de l'examen du critère de l'immédiateté du licenciement.</w:t>
      </w:r>
    </w:p>
    <w:p>
      <w:r>
        <w:t>- 18 - 5.3.1 S'agissant du premier manquement reproché à l'appelé, le seul élément temporel connu est la livraison du véhicule F_________ yy1 à E_________ intervenue le 31 décembre 2013 (cf. liste des ventes effectuées par B_________ produite en cause). L'employé ayant besoin d'un document (autorisation de radiation du code 178) que devait lui envoyer le client afin de pouvoir entreprendre les démarches d'immatriculation du véhicule nouvellement acquis, cette pièce lui est donc parvenue avant la livraison de ce dernier, comme le confirment ses déclarations devant la police cantonale (cf. audition du 18 septembre 2014, p. 5, Q9), soit avant la fin de l'année 2013. Quant aux démarches de l'employeur qui ont suivi et l'ont amené à constater que le véhicule G_________ de E_________ avait été mis en vente en ligne par C_________, alors que le contrat de vente de F_________ yy1 ne mentionnait aucune reprise, on ignore quand précisément elles ont eu lieu, l'appelante n'ayant rien allégué, ni prouvé à ce sujet, si bien qu'il n'est pas possible de considérer que le licenciement a été annoncé en temps utile. Quoi qu'il en soit, comme l'ont relevé les premiers juges, il est juste de considérer que la confiance de l'employeur n'avait pas été irrémédiablement rompue lorsqu'il avait eu vent de cette affaire, dès lors que O_________ n'en a absolument pas parlé ensuite à son employé pour lui en faire le reproche et a même déclaré à C_________ qu'il souhaitait l’oublier (cf. audition par la police cantonale du 12 novembre 2014, p. 4, Q7). 5.3.2 En ce qui concerne le véhicule F_________ yy2, il ressort des allégations de l'appelante que son rapatriement a eu lieu le samedi 18 janvier 2014, ce qui n'a pas été formellement contesté par l'appelé (all. 49 [ignoré]). A suivre le témoin L_________, le constat des 3500 kilomètres supplémentaires au compteur de ce véhicule a été effectué le jour-même (audition du 12 juillet 2016, Q18). A nouveau, on ignore à quel moment l'employeur a su que le véhicule avait été immatriculé sur la base d'une fausse déclaration de perte de permis de circulation émise par D_________ (cf. audition de O_________ par la police cantonale, Q9), en particulier quand il s'est renseigné auprès du Service de la circulation routière et de la navigation. Cette investigation, qui devait être menée pour déterminer l'auteur des kilomètres supplémentaires, pouvait toutefois intervenir très rapidement après leur découverte, soit dès le lundi 20 janvier 2014. Bien que A_________ ait indiqué n’avoir effectué aucune autre investigation pour faire toute la lumière sur cette affaire, l'appelé a toutefois prétendu devant la police cantonale (cf. audition du 18 septembre 2014, Q13) avoir été interrogé au sujet du kilométrage du véhicule en question par O_________ lui-même, auquel il n'avait pu fournir d'explications. Il a également affirmé avoir demandé à C_________, qui lui avait déclaré avoir roulé avec ledit véhicule, de venir s'expliquer avec son patron. C_________ serait alors venu au garage faire une offre d'achat sur ce même véhicule et proposer de payer</w:t>
      </w:r>
    </w:p>
    <w:p>
      <w:r>
        <w:t>- 19 - les kilomètres effectués à O_________, lequel n'aurait pas donné suite à ces propositions (cf. audition de C_________ du 12 novembre 2014, Q15). Or, à supposer qu’ils soient véridiques, on ignore quand ces faits ont eu lieu. Au final, l'enquête pénale a démontré que C_________ avait roulé avec le véhicule litigieux à l'insu de l'appelé. En tout état de cause, à l'époque du licenciement, les soupçons pesant à ce sujet sur ce dernier n'étaient nullement étayés par des éléments concrets suffisants, de sorte que la résiliation immédiate n'était pas justifiée pour ce motif. Par ailleurs, si l'employeur entendait reprocher à B_________ le seul fait d'avoir mis en consignation un véhicule sans son accord auprès d'un autre garage, circonstance connue de lui le 10 janvier 2014 déjà, il a manifestement tardé à agir en résiliant le contrat de travail quinze jours plus tard. Il aurait enfin été bien avisé de produire en cause, ce qu’il n’a pas fait, un modèle de contrat de consignation qu'il a prétendu que son employé aurait dû remplir. 5.3.3 Quant au dernier grief, il est nullement établi que l'employeur ait découvert, en date du 25 janvier 2014 seulement, que l'appelé avait prêté un double de la plaque de garage VS xxx U à C_________, fait de surcroît contesté et dont la preuve n'a pu être apportée durant l'instruction. 5.3.4 Sur le vu de tous ces éléments, l'appelante doit supporter l'échec de la preuve que la résiliation du 25 janvier 2014 est intervenue en temps utile (art. 8 CC et consid. 5.2 ci- dessus).</w:t>
      </w:r>
    </w:p>
    <w:p>
      <w:r>
        <w:rPr>
          <w:b/>
        </w:rPr>
        <w:t>E. 6</w:t>
      </w:r>
    </w:p>
    <w:p>
      <w:r>
        <w:t>Dès lors que le licenciement était injustifié, le demandeur pouvait prétendre au versement des indemnités prévues à l’article 337c CO. A cet égard, le Tribunal du travail (cf. consid. 2 s., p. 18 s. de son jugement) lui a reconnu une prétention salariale d'un montant de 18'105 fr. 80 brut, respectivement de 15'946 fr. 20 net, à laquelle il a ajouté une indemnité de 5425 fr. net, correspondant à un mois de salaire, l'intérêt moratoire à 5 % étant dû sur les montants octroyés dès le 25 janvier 2014. Il a ensuite arrêté à 11'942 fr. 40 net la somme à verser à la Caisse de chômage OCS, légalement subrogée dans les droits de B_________ jusqu'à concurrence des indemnités journalières versées (art. 29 al. 2 LACI et 337c al. 2 CO; arrêts 4C.417/2006 du 16 mars 2007 consid. 3.3 et 4C.275/2002 du 5 décembre 2002 consid. 3.1). Les montants alloués n’ayant pas été discutés spécifiquement par l’appelante, ils doivent être confirmés en deuxième instance. Par ailleurs, le rejet par les premiers juges des prétentions du demandeur en réparation du tort moral, respectivement le constat de l’irrecevabilité de sa conclusion en délivrance d’un nouveau certificat de travail, n’ayant pas été remis en question céans, il n’y a pas lieu d’y revenir.</w:t>
      </w:r>
    </w:p>
    <w:p>
      <w:r>
        <w:t>- 20 -</w:t>
      </w:r>
    </w:p>
    <w:p>
      <w:r>
        <w:rPr>
          <w:b/>
        </w:rPr>
        <w:t>E. 7</w:t>
      </w:r>
    </w:p>
    <w:p>
      <w:r>
        <w:t>Mal fondé, l’appel doit être rejeté et le verdict de première instance confirmé. 8.1 Conformément à l’article 114 let. c CPC, se rapportant aux contestations de droit du travail d’une valeur litigieuse n’excédant pas 30'000 fr., il n’est pas perçu de frais judiciaires (CR CPC-TAPPY, op. cit., n. 10 ss ad art. 114 CPC; BSK ZPO-RÜEGG/RÜEGG, 3e éd., 2017, n. 2 art. 114 CPC; BK ZPO-STERCHI, vol. I, 2012, n. 10 ad art. 114 CPC). 8.2 Il résulte de la formulation de l’article 114 CPC que cette disposition ne concerne pas les dépens en faveur de la partie adverse (cf. RVJ 2014 p. 234 consid. 4.1 et réf; URWYLER/GRÜTTER, in BRUNNER/GASSER/SCHWANDER, Schweizerische Zivilprozess- ordnung, 2e éd., 2016, n. 2 ad art. 114 CPC). Conformément à l’art. 106 al. 1 CPC - qui vaut tant en première qu’en seconde instance cantonale (cf. ATF 145 III 153 consid. 3.2.2; 137 III 470 consid. 6.5.3; arrêt 5A_496/2013 du 11 septembre 2013 consid. 4.4.1) - les dépens doivent être mis à la charge de la partie succombante (1re phrase). 8.3 D’ordinaire, l’honoraire global auquel peut prétendre le conseil juridique d’une partie dans une cause où la valeur litigieuse déterminante pour le calcul des frais est comprise entre 20'001 fr. et 30'000 fr. - comme en l’espèce - oscille entre 3600 fr. et 5400 fr. en première instance (cf. art. 32 al. 1 LTar), avant la réduction de 60% applicable en procédure d'appel (cf.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(cf. art. 29 al. 2 LTar). 8.4 Dans le cas particulier, la juridiction inférieure a chiffré à 2800 fr. l’indemnité due à titre de dépens au demandeur et mise à la charge de la société défenderesse, qui a pour l'essentiel succombé dans ses conclusions (cf. art. 106 al. 1 CPC). Dans la mesure où l’ampleur de dite indemnité n’a pas été remise en cause par les parties, elle ne peut qu’être confirmée. Aussi, le garage A_________ versera à B_________ une indemnité de 2800 fr. à titre de dépens pour la procédure de première instance. 8.5 En appel, eu égard à la valeur litigieuse, au degré usuel de difficulté de la cause, ainsi qu’à l’activité utilement déployée par le conseil de l’appelé - qui a, pour l’essentiel, consisté à rédiger une réponse reprenant très largement les conclusions motivées déposées en première instance - l’indemnité de dépens doit être globalement arrêtée à 1500 fr., TVA et débours compris (art. 27 al. 5 LTar). Vu le sort de l’appel, cette indemnité</w:t>
      </w:r>
    </w:p>
    <w:p>
      <w:r>
        <w:t>- 21 - est mise à la charge de l’appelante, qui succombe (cf. art. 106 al. 1 CPC) et supporte ses propres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